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Scheda di sintesi sulla rilevazione degli OIV o </w:t>
      </w:r>
      <w:r w:rsidR="009A5646" w:rsidRPr="0041405A">
        <w:rPr>
          <w:rFonts w:ascii="Titillium" w:hAnsi="Titillium"/>
          <w:sz w:val="20"/>
          <w:szCs w:val="20"/>
        </w:rPr>
        <w:t>organismi con funzioni analoghe</w:t>
      </w:r>
    </w:p>
    <w:p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 w:rsidR="00C27B23" w:rsidRPr="0041405A" w:rsidRDefault="00DC1BBF">
      <w:pPr>
        <w:pStyle w:val="Paragrafoelenco"/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Svolgimento</w:t>
      </w:r>
      <w:r w:rsidR="0048249A" w:rsidRPr="0041405A">
        <w:rPr>
          <w:rFonts w:ascii="Titillium" w:hAnsi="Titillium"/>
          <w:sz w:val="20"/>
          <w:szCs w:val="20"/>
        </w:rPr>
        <w:t xml:space="preserve"> della rilevazione nel formato </w:t>
      </w:r>
      <w:r w:rsidR="00077FFC">
        <w:rPr>
          <w:rFonts w:ascii="Titillium" w:hAnsi="Titillium"/>
          <w:sz w:val="20"/>
          <w:szCs w:val="20"/>
        </w:rPr>
        <w:t>06/06/2022</w:t>
      </w:r>
      <w:r w:rsidR="0048249A" w:rsidRPr="0041405A">
        <w:rPr>
          <w:rFonts w:ascii="Titillium" w:hAnsi="Titillium"/>
          <w:sz w:val="20"/>
          <w:szCs w:val="20"/>
        </w:rPr>
        <w:t>.</w:t>
      </w:r>
    </w:p>
    <w:p w:rsidR="00DC1BBF" w:rsidRPr="0041405A" w:rsidRDefault="00DC1BBF" w:rsidP="00DC1BBF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  <w:u w:val="single"/>
        </w:rPr>
      </w:pPr>
      <w:r w:rsidRPr="00C519E0">
        <w:rPr>
          <w:rFonts w:ascii="Titillium" w:hAnsi="Titillium"/>
          <w:sz w:val="20"/>
          <w:szCs w:val="20"/>
        </w:rPr>
        <w:t>Data di inizio e di fine</w:t>
      </w:r>
      <w:r w:rsidRPr="0041405A">
        <w:rPr>
          <w:rFonts w:ascii="Titillium" w:hAnsi="Titillium"/>
          <w:sz w:val="20"/>
          <w:szCs w:val="20"/>
        </w:rPr>
        <w:t xml:space="preserve"> della rilevazione</w:t>
      </w:r>
      <w:r>
        <w:rPr>
          <w:rFonts w:ascii="Titillium" w:hAnsi="Titillium"/>
          <w:sz w:val="20"/>
          <w:szCs w:val="20"/>
        </w:rPr>
        <w:t xml:space="preserve"> </w:t>
      </w:r>
      <w:r>
        <w:rPr>
          <w:rFonts w:ascii="Titillium" w:hAnsi="Titillium"/>
          <w:sz w:val="20"/>
          <w:szCs w:val="20"/>
        </w:rPr>
        <w:t>06/06/2022</w:t>
      </w:r>
    </w:p>
    <w:p w:rsidR="00C27B23" w:rsidRPr="0041405A" w:rsidRDefault="00C27B23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</w:p>
    <w:p w:rsidR="00C27B23" w:rsidRPr="0041405A" w:rsidRDefault="0048249A">
      <w:pPr>
        <w:pStyle w:val="Paragrafoelenco"/>
        <w:spacing w:after="0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Estensione della rilevazione (nel </w:t>
      </w:r>
      <w:r w:rsidR="00FC7906" w:rsidRPr="0041405A">
        <w:rPr>
          <w:rFonts w:ascii="Titillium" w:hAnsi="Titillium"/>
          <w:b/>
          <w:i/>
          <w:sz w:val="20"/>
          <w:szCs w:val="20"/>
        </w:rPr>
        <w:t xml:space="preserve">solo </w:t>
      </w:r>
      <w:r w:rsidRPr="0041405A">
        <w:rPr>
          <w:rFonts w:ascii="Titillium" w:hAnsi="Titillium"/>
          <w:b/>
          <w:i/>
          <w:sz w:val="20"/>
          <w:szCs w:val="20"/>
        </w:rPr>
        <w:t>caso di ammin</w:t>
      </w:r>
      <w:r w:rsidR="007A107C" w:rsidRPr="0041405A">
        <w:rPr>
          <w:rFonts w:ascii="Titillium" w:hAnsi="Titillium"/>
          <w:b/>
          <w:i/>
          <w:sz w:val="20"/>
          <w:szCs w:val="20"/>
        </w:rPr>
        <w:t>istrazioni</w:t>
      </w:r>
      <w:r w:rsidR="00FC7906" w:rsidRPr="0041405A">
        <w:rPr>
          <w:rFonts w:ascii="Titillium" w:hAnsi="Titillium"/>
          <w:b/>
          <w:i/>
          <w:sz w:val="20"/>
          <w:szCs w:val="20"/>
        </w:rPr>
        <w:t>/enti</w:t>
      </w:r>
      <w:r w:rsidR="007A107C" w:rsidRPr="0041405A">
        <w:rPr>
          <w:rFonts w:ascii="Titillium" w:hAnsi="Titillium"/>
          <w:b/>
          <w:i/>
          <w:sz w:val="20"/>
          <w:szCs w:val="20"/>
        </w:rPr>
        <w:t xml:space="preserve"> con uffici periferici)</w:t>
      </w:r>
    </w:p>
    <w:p w:rsidR="00C27B23" w:rsidRPr="0041405A" w:rsidRDefault="00C27B23">
      <w:pPr>
        <w:pStyle w:val="Paragrafoelenco"/>
        <w:spacing w:after="0"/>
        <w:ind w:left="0" w:firstLine="0"/>
        <w:rPr>
          <w:rFonts w:ascii="Titillium" w:hAnsi="Titillium"/>
          <w:b/>
          <w:sz w:val="20"/>
          <w:szCs w:val="20"/>
          <w:u w:val="single"/>
        </w:rPr>
      </w:pPr>
    </w:p>
    <w:p w:rsidR="00DC1BBF" w:rsidRPr="00C519E0" w:rsidRDefault="00DC1BBF" w:rsidP="00DC1BBF">
      <w:pPr>
        <w:spacing w:after="0" w:line="276" w:lineRule="auto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Nessun ufficio periferico presente.</w:t>
      </w:r>
    </w:p>
    <w:p w:rsidR="00C27B23" w:rsidRPr="0041405A" w:rsidRDefault="00C27B23">
      <w:pPr>
        <w:pStyle w:val="Paragrafoelenco"/>
        <w:spacing w:after="0" w:line="276" w:lineRule="auto"/>
        <w:ind w:left="720" w:firstLine="0"/>
        <w:rPr>
          <w:rFonts w:ascii="Titillium" w:hAnsi="Titillium"/>
          <w:sz w:val="20"/>
          <w:szCs w:val="20"/>
        </w:rPr>
      </w:pPr>
    </w:p>
    <w:p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:rsidR="00C27B23" w:rsidRPr="0041405A" w:rsidRDefault="0048249A" w:rsidP="007A107C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Indicare il procedimento e le modalità seguite per condurre la rilevazione.</w:t>
      </w:r>
    </w:p>
    <w:p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esame della documentazione e delle banche dati relative ai dati oggetto di attestazione;</w:t>
      </w:r>
    </w:p>
    <w:p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colloqui con i responsabili della trasmissione dei dati;</w:t>
      </w:r>
    </w:p>
    <w:p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colloqui con i responsabili della pubblicazione dei dati;</w:t>
      </w:r>
    </w:p>
    <w:p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verifica </w:t>
      </w:r>
      <w:r w:rsidR="00713BFD" w:rsidRPr="0041405A">
        <w:rPr>
          <w:rFonts w:ascii="Titillium" w:hAnsi="Titillium"/>
          <w:sz w:val="20"/>
          <w:szCs w:val="20"/>
        </w:rPr>
        <w:t xml:space="preserve">diretta </w:t>
      </w:r>
      <w:r w:rsidRPr="0041405A">
        <w:rPr>
          <w:rFonts w:ascii="Titillium" w:hAnsi="Titillium"/>
          <w:sz w:val="20"/>
          <w:szCs w:val="20"/>
        </w:rPr>
        <w:t>sul sito istituzionale, anche attraverso l’utilizzo di supporti informatici</w:t>
      </w:r>
      <w:r w:rsidR="008A0378" w:rsidRPr="0041405A">
        <w:rPr>
          <w:rFonts w:ascii="Titillium" w:hAnsi="Titillium"/>
          <w:sz w:val="20"/>
          <w:szCs w:val="20"/>
        </w:rPr>
        <w:t>.</w:t>
      </w:r>
    </w:p>
    <w:p w:rsidR="00C27B23" w:rsidRPr="0041405A" w:rsidRDefault="00C27B23">
      <w:pPr>
        <w:spacing w:line="360" w:lineRule="auto"/>
        <w:rPr>
          <w:rFonts w:ascii="Titillium" w:hAnsi="Titillium"/>
          <w:sz w:val="20"/>
          <w:szCs w:val="20"/>
          <w:u w:val="single"/>
        </w:rPr>
      </w:pPr>
    </w:p>
    <w:p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:rsidR="00DC1BBF" w:rsidRDefault="00DC1BBF" w:rsidP="00DC1BBF">
      <w:pPr>
        <w:spacing w:line="360" w:lineRule="auto"/>
        <w:rPr>
          <w:rFonts w:ascii="Titillium" w:hAnsi="Titillium"/>
          <w:sz w:val="20"/>
          <w:szCs w:val="20"/>
        </w:rPr>
      </w:pPr>
      <w:r w:rsidRPr="00C519E0">
        <w:rPr>
          <w:rFonts w:ascii="Titillium" w:hAnsi="Titillium"/>
          <w:sz w:val="20"/>
          <w:szCs w:val="20"/>
        </w:rPr>
        <w:t>Nulla da rilevare</w:t>
      </w:r>
    </w:p>
    <w:p w:rsidR="008A0378" w:rsidRPr="0041405A" w:rsidRDefault="008A0378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</w:p>
    <w:p w:rsidR="00C27B23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Eventuale documentazione da allegare</w:t>
      </w:r>
    </w:p>
    <w:p w:rsidR="00DC1BBF" w:rsidRDefault="00DC1BBF" w:rsidP="00DC1BBF">
      <w:pPr>
        <w:spacing w:line="360" w:lineRule="auto"/>
        <w:rPr>
          <w:rFonts w:ascii="Titillium" w:hAnsi="Titillium"/>
          <w:sz w:val="20"/>
          <w:szCs w:val="20"/>
        </w:rPr>
      </w:pPr>
      <w:r w:rsidRPr="00C519E0">
        <w:rPr>
          <w:rFonts w:ascii="Titillium" w:hAnsi="Titillium"/>
          <w:sz w:val="20"/>
          <w:szCs w:val="20"/>
        </w:rPr>
        <w:t>Nulla da rilevare</w:t>
      </w:r>
    </w:p>
    <w:p w:rsidR="00DC1BBF" w:rsidRDefault="00DC1BBF" w:rsidP="00DC1BBF">
      <w:pPr>
        <w:spacing w:line="360" w:lineRule="auto"/>
        <w:rPr>
          <w:rFonts w:ascii="Titillium" w:hAnsi="Titillium"/>
          <w:sz w:val="20"/>
          <w:szCs w:val="20"/>
        </w:rPr>
      </w:pPr>
    </w:p>
    <w:p w:rsidR="00DC1BBF" w:rsidRDefault="00DC1BBF" w:rsidP="00DC1BBF">
      <w:pPr>
        <w:spacing w:line="360" w:lineRule="auto"/>
        <w:ind w:left="708" w:firstLine="708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Sottoscritto dal legale rappresentante in assenza di un OIV o di altro soggetto con funzioni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Titillium" w:hAnsi="Titillium"/>
          <w:sz w:val="20"/>
          <w:szCs w:val="20"/>
        </w:rPr>
        <w:t>analoghe</w:t>
      </w:r>
    </w:p>
    <w:p w:rsidR="00DC1BBF" w:rsidRDefault="00DC1BBF" w:rsidP="00DC1BBF">
      <w:pPr>
        <w:spacing w:line="360" w:lineRule="auto"/>
        <w:ind w:left="708" w:firstLine="708"/>
        <w:rPr>
          <w:rFonts w:ascii="Titillium" w:hAnsi="Titillium"/>
          <w:b/>
          <w:i/>
          <w:sz w:val="20"/>
          <w:szCs w:val="20"/>
        </w:rPr>
      </w:pPr>
    </w:p>
    <w:p w:rsidR="00DC1BBF" w:rsidRDefault="00DC1BBF" w:rsidP="00DC1BBF">
      <w:pPr>
        <w:spacing w:before="120" w:after="0"/>
        <w:jc w:val="center"/>
        <w:rPr>
          <w:rFonts w:ascii="Titillium" w:hAnsi="Titillium" w:cs="Times New Roman"/>
          <w:b/>
          <w:bCs/>
          <w:sz w:val="20"/>
          <w:szCs w:val="20"/>
          <w:lang w:eastAsia="en-US"/>
        </w:rPr>
      </w:pPr>
      <w:r>
        <w:rPr>
          <w:rFonts w:ascii="Titillium" w:hAnsi="Titillium"/>
          <w:b/>
          <w:bCs/>
          <w:sz w:val="20"/>
          <w:szCs w:val="20"/>
        </w:rPr>
        <w:t xml:space="preserve">                                          Il legale rappresentante</w:t>
      </w:r>
    </w:p>
    <w:p w:rsidR="00DC1BBF" w:rsidRDefault="00DC1BBF" w:rsidP="00DC1BBF">
      <w:pPr>
        <w:spacing w:before="120" w:after="0"/>
        <w:ind w:left="4956"/>
        <w:rPr>
          <w:rFonts w:ascii="Titillium" w:hAnsi="Titillium"/>
          <w:b/>
          <w:bCs/>
          <w:sz w:val="20"/>
          <w:szCs w:val="20"/>
        </w:rPr>
      </w:pPr>
      <w:r>
        <w:rPr>
          <w:rFonts w:ascii="Titillium" w:hAnsi="Titillium"/>
          <w:b/>
          <w:bCs/>
          <w:sz w:val="20"/>
          <w:szCs w:val="20"/>
        </w:rPr>
        <w:t>Pontoni don Paolo</w:t>
      </w:r>
    </w:p>
    <w:p w:rsidR="00DC1BBF" w:rsidRPr="0041405A" w:rsidRDefault="00DC1BBF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bookmarkStart w:id="0" w:name="_GoBack"/>
      <w:bookmarkEnd w:id="0"/>
    </w:p>
    <w:sectPr w:rsidR="00DC1BBF" w:rsidRPr="004140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06A" w:rsidRDefault="0060106A">
      <w:pPr>
        <w:spacing w:after="0" w:line="240" w:lineRule="auto"/>
      </w:pPr>
      <w:r>
        <w:separator/>
      </w:r>
    </w:p>
  </w:endnote>
  <w:endnote w:type="continuationSeparator" w:id="0">
    <w:p w:rsidR="0060106A" w:rsidRDefault="0060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242" w:rsidRDefault="0025724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242" w:rsidRDefault="0025724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242" w:rsidRDefault="002572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06A" w:rsidRDefault="0060106A">
      <w:pPr>
        <w:spacing w:after="0" w:line="240" w:lineRule="auto"/>
      </w:pPr>
      <w:r>
        <w:separator/>
      </w:r>
    </w:p>
  </w:footnote>
  <w:footnote w:type="continuationSeparator" w:id="0">
    <w:p w:rsidR="0060106A" w:rsidRDefault="00601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242" w:rsidRDefault="0025724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687E4C92" wp14:editId="504C6424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206C" w:rsidRDefault="0085206C" w:rsidP="006E496C">
    <w:pPr>
      <w:pStyle w:val="Intestazione"/>
      <w:jc w:val="right"/>
      <w:rPr>
        <w:rFonts w:ascii="Garamond" w:hAnsi="Garamond"/>
        <w:b/>
      </w:rPr>
    </w:pPr>
  </w:p>
  <w:p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506EFE">
      <w:rPr>
        <w:rFonts w:ascii="Titillium" w:hAnsi="Titillium" w:cs="Times New Roman"/>
        <w:b/>
        <w:sz w:val="20"/>
        <w:szCs w:val="20"/>
      </w:rPr>
      <w:t>201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257242">
      <w:rPr>
        <w:rFonts w:ascii="Titillium" w:hAnsi="Titillium" w:cs="Times New Roman"/>
        <w:b/>
        <w:sz w:val="20"/>
        <w:szCs w:val="20"/>
      </w:rPr>
      <w:t>2</w:t>
    </w:r>
  </w:p>
  <w:p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242" w:rsidRDefault="002572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23"/>
    <w:rsid w:val="00040F20"/>
    <w:rsid w:val="00077FFC"/>
    <w:rsid w:val="000F2C0E"/>
    <w:rsid w:val="0016468A"/>
    <w:rsid w:val="0024134D"/>
    <w:rsid w:val="00257242"/>
    <w:rsid w:val="002C572E"/>
    <w:rsid w:val="003E1CF5"/>
    <w:rsid w:val="0041405A"/>
    <w:rsid w:val="00416AD0"/>
    <w:rsid w:val="0048249A"/>
    <w:rsid w:val="004833D5"/>
    <w:rsid w:val="004F18CD"/>
    <w:rsid w:val="00506EFE"/>
    <w:rsid w:val="0060106A"/>
    <w:rsid w:val="006E496C"/>
    <w:rsid w:val="007052EA"/>
    <w:rsid w:val="00713BFD"/>
    <w:rsid w:val="007A107C"/>
    <w:rsid w:val="00837860"/>
    <w:rsid w:val="0085206C"/>
    <w:rsid w:val="00861FE1"/>
    <w:rsid w:val="008A0378"/>
    <w:rsid w:val="00955140"/>
    <w:rsid w:val="009A5646"/>
    <w:rsid w:val="009C05D1"/>
    <w:rsid w:val="009C6FAC"/>
    <w:rsid w:val="00A52DF7"/>
    <w:rsid w:val="00AF790D"/>
    <w:rsid w:val="00C27B23"/>
    <w:rsid w:val="00C32BE7"/>
    <w:rsid w:val="00D27496"/>
    <w:rsid w:val="00DC1BBF"/>
    <w:rsid w:val="00FA2F77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56934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i.siciliani</dc:creator>
  <cp:lastModifiedBy>Tiziana Franceschini</cp:lastModifiedBy>
  <cp:revision>3</cp:revision>
  <cp:lastPrinted>2018-02-28T15:30:00Z</cp:lastPrinted>
  <dcterms:created xsi:type="dcterms:W3CDTF">2022-05-25T10:00:00Z</dcterms:created>
  <dcterms:modified xsi:type="dcterms:W3CDTF">2022-05-30T08:41:00Z</dcterms:modified>
</cp:coreProperties>
</file>